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76A" w:rsidRDefault="00ED776A">
      <w:pPr>
        <w:jc w:val="center"/>
        <w:rPr>
          <w:rFonts w:ascii="宋体" w:eastAsia="宋体" w:hAnsi="宋体" w:cs="宋体"/>
          <w:bCs/>
          <w:color w:val="000000"/>
        </w:rPr>
      </w:pPr>
      <w:bookmarkStart w:id="0" w:name="_GoBack"/>
      <w:bookmarkEnd w:id="0"/>
    </w:p>
    <w:p w:rsidR="00ED776A" w:rsidRDefault="00ED776A">
      <w:pPr>
        <w:jc w:val="center"/>
        <w:rPr>
          <w:rFonts w:ascii="宋体" w:eastAsia="宋体" w:hAnsi="宋体" w:cs="宋体"/>
          <w:bCs/>
          <w:color w:val="000000"/>
        </w:rPr>
      </w:pPr>
    </w:p>
    <w:p w:rsidR="00ED776A" w:rsidRDefault="00ED776A">
      <w:pPr>
        <w:jc w:val="center"/>
        <w:rPr>
          <w:rFonts w:ascii="宋体" w:eastAsia="宋体" w:hAnsi="宋体" w:cs="宋体"/>
          <w:bCs/>
          <w:color w:val="000000"/>
        </w:rPr>
      </w:pPr>
    </w:p>
    <w:p w:rsidR="00ED776A" w:rsidRDefault="00ED776A">
      <w:pPr>
        <w:jc w:val="center"/>
        <w:rPr>
          <w:rFonts w:ascii="宋体" w:eastAsia="宋体" w:hAnsi="宋体" w:cs="宋体"/>
          <w:bCs/>
          <w:color w:val="000000"/>
        </w:rPr>
      </w:pPr>
    </w:p>
    <w:p w:rsidR="00ED776A" w:rsidRDefault="00ED776A">
      <w:pPr>
        <w:jc w:val="center"/>
        <w:rPr>
          <w:rFonts w:ascii="宋体" w:eastAsia="宋体" w:hAnsi="宋体" w:cs="宋体"/>
          <w:bCs/>
          <w:color w:val="000000"/>
        </w:rPr>
      </w:pPr>
    </w:p>
    <w:p w:rsidR="00ED776A" w:rsidRDefault="00ED776A">
      <w:pPr>
        <w:jc w:val="center"/>
        <w:rPr>
          <w:rFonts w:ascii="宋体" w:eastAsia="宋体" w:hAnsi="宋体" w:cs="宋体"/>
          <w:bCs/>
          <w:color w:val="000000"/>
        </w:rPr>
      </w:pPr>
    </w:p>
    <w:p w:rsidR="00ED776A" w:rsidRDefault="00EB3580">
      <w:pPr>
        <w:jc w:val="center"/>
        <w:rPr>
          <w:rFonts w:ascii="宋体" w:eastAsia="宋体" w:hAnsi="宋体" w:cs="宋体"/>
          <w:b/>
          <w:color w:val="000000"/>
          <w:sz w:val="48"/>
          <w:szCs w:val="48"/>
        </w:rPr>
      </w:pPr>
      <w:r>
        <w:rPr>
          <w:rFonts w:ascii="宋体" w:eastAsia="宋体" w:hAnsi="宋体" w:cs="宋体" w:hint="eastAsia"/>
          <w:b/>
          <w:color w:val="000000"/>
          <w:sz w:val="48"/>
          <w:szCs w:val="48"/>
        </w:rPr>
        <w:t>艾滋病和病毒性肝炎等重大传染病防治</w:t>
      </w:r>
    </w:p>
    <w:p w:rsidR="00ED776A" w:rsidRDefault="00EB3580">
      <w:pPr>
        <w:jc w:val="center"/>
        <w:rPr>
          <w:rFonts w:ascii="楷体" w:eastAsia="楷体" w:hAnsi="楷体"/>
          <w:bCs/>
          <w:color w:val="000000"/>
          <w:sz w:val="48"/>
          <w:szCs w:val="48"/>
        </w:rPr>
      </w:pPr>
      <w:r>
        <w:rPr>
          <w:rFonts w:ascii="宋体" w:eastAsia="宋体" w:hAnsi="宋体" w:cs="宋体" w:hint="eastAsia"/>
          <w:b/>
          <w:color w:val="000000"/>
          <w:sz w:val="48"/>
          <w:szCs w:val="48"/>
        </w:rPr>
        <w:t>科技重大专项</w:t>
      </w:r>
      <w:r>
        <w:rPr>
          <w:rFonts w:ascii="宋体" w:eastAsia="宋体" w:hAnsi="宋体" w:cs="宋体" w:hint="eastAsia"/>
          <w:b/>
          <w:color w:val="000000"/>
          <w:sz w:val="48"/>
          <w:szCs w:val="48"/>
        </w:rPr>
        <w:t>2020</w:t>
      </w:r>
      <w:r>
        <w:rPr>
          <w:rFonts w:ascii="宋体" w:eastAsia="宋体" w:hAnsi="宋体" w:cs="宋体" w:hint="eastAsia"/>
          <w:b/>
          <w:color w:val="000000"/>
          <w:sz w:val="48"/>
          <w:szCs w:val="48"/>
        </w:rPr>
        <w:t>年度课题申报指南</w:t>
      </w:r>
    </w:p>
    <w:p w:rsidR="00ED776A" w:rsidRDefault="00ED776A">
      <w:pPr>
        <w:jc w:val="center"/>
        <w:rPr>
          <w:rFonts w:ascii="楷体" w:eastAsia="楷体" w:hAnsi="楷体"/>
          <w:bCs/>
          <w:color w:val="000000"/>
        </w:rPr>
      </w:pPr>
    </w:p>
    <w:p w:rsidR="00ED776A" w:rsidRDefault="00ED776A">
      <w:pPr>
        <w:jc w:val="center"/>
        <w:rPr>
          <w:rFonts w:ascii="楷体" w:eastAsia="楷体" w:hAnsi="楷体"/>
          <w:bCs/>
          <w:color w:val="000000"/>
        </w:rPr>
      </w:pPr>
    </w:p>
    <w:p w:rsidR="00ED776A" w:rsidRDefault="00ED776A">
      <w:pPr>
        <w:ind w:firstLineChars="132" w:firstLine="277"/>
        <w:jc w:val="center"/>
        <w:rPr>
          <w:rFonts w:eastAsia="楷体"/>
          <w:bCs/>
          <w:color w:val="000000"/>
        </w:rPr>
      </w:pPr>
    </w:p>
    <w:p w:rsidR="00ED776A" w:rsidRDefault="00ED776A">
      <w:pPr>
        <w:ind w:firstLineChars="132" w:firstLine="277"/>
        <w:jc w:val="center"/>
        <w:rPr>
          <w:rFonts w:ascii="楷体" w:eastAsia="楷体" w:hAnsi="楷体"/>
          <w:bCs/>
          <w:color w:val="000000"/>
        </w:rPr>
      </w:pPr>
    </w:p>
    <w:p w:rsidR="00ED776A" w:rsidRDefault="00ED776A">
      <w:pPr>
        <w:jc w:val="center"/>
        <w:rPr>
          <w:rFonts w:eastAsia="楷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D776A">
      <w:pPr>
        <w:jc w:val="center"/>
        <w:rPr>
          <w:rFonts w:eastAsia="黑体"/>
          <w:bCs/>
          <w:color w:val="000000"/>
        </w:rPr>
      </w:pPr>
    </w:p>
    <w:p w:rsidR="00ED776A" w:rsidRDefault="00EB3580" w:rsidP="00A76C27">
      <w:pPr>
        <w:ind w:firstLineChars="500" w:firstLine="1500"/>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艾滋病和病毒性肝炎等重大传染病防治</w:t>
      </w:r>
    </w:p>
    <w:p w:rsidR="00ED776A" w:rsidRDefault="00EB3580">
      <w:pPr>
        <w:jc w:val="center"/>
        <w:rPr>
          <w:rFonts w:ascii="楷体_GB2312" w:eastAsia="楷体_GB2312" w:hAnsi="楷体_GB2312" w:cs="楷体_GB2312"/>
          <w:bCs/>
          <w:color w:val="000000"/>
          <w:sz w:val="30"/>
          <w:szCs w:val="30"/>
        </w:rPr>
      </w:pPr>
      <w:r>
        <w:rPr>
          <w:rFonts w:ascii="楷体_GB2312" w:eastAsia="楷体_GB2312" w:hAnsi="楷体_GB2312" w:cs="楷体_GB2312" w:hint="eastAsia"/>
          <w:bCs/>
          <w:color w:val="000000"/>
          <w:sz w:val="30"/>
          <w:szCs w:val="30"/>
        </w:rPr>
        <w:t>科技重大专项牵头组织部门</w:t>
      </w:r>
    </w:p>
    <w:p w:rsidR="00ED776A" w:rsidRDefault="00EB3580">
      <w:pPr>
        <w:jc w:val="center"/>
        <w:rPr>
          <w:rFonts w:ascii="楷体_GB2312" w:eastAsia="楷体_GB2312" w:hAnsi="楷体_GB2312" w:cs="楷体_GB2312"/>
          <w:bCs/>
          <w:color w:val="000000"/>
          <w:sz w:val="30"/>
          <w:szCs w:val="30"/>
        </w:rPr>
        <w:sectPr w:rsidR="00ED776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720"/>
          <w:titlePg/>
          <w:docGrid w:type="lines" w:linePitch="435"/>
        </w:sectPr>
      </w:pPr>
      <w:r>
        <w:rPr>
          <w:rFonts w:ascii="楷体_GB2312" w:eastAsia="楷体_GB2312" w:hAnsi="楷体_GB2312" w:cs="楷体_GB2312" w:hint="eastAsia"/>
          <w:bCs/>
          <w:color w:val="000000"/>
          <w:sz w:val="30"/>
          <w:szCs w:val="30"/>
        </w:rPr>
        <w:t>2019</w:t>
      </w:r>
      <w:r>
        <w:rPr>
          <w:rFonts w:ascii="楷体_GB2312" w:eastAsia="楷体_GB2312" w:hAnsi="楷体_GB2312" w:cs="楷体_GB2312" w:hint="eastAsia"/>
          <w:bCs/>
          <w:color w:val="000000"/>
          <w:sz w:val="30"/>
          <w:szCs w:val="30"/>
        </w:rPr>
        <w:t>年</w:t>
      </w:r>
      <w:r>
        <w:rPr>
          <w:rFonts w:ascii="楷体_GB2312" w:eastAsia="楷体_GB2312" w:hAnsi="楷体_GB2312" w:cs="楷体_GB2312" w:hint="eastAsia"/>
          <w:bCs/>
          <w:color w:val="000000"/>
          <w:sz w:val="30"/>
          <w:szCs w:val="30"/>
        </w:rPr>
        <w:t>1</w:t>
      </w:r>
      <w:r>
        <w:rPr>
          <w:rFonts w:ascii="楷体_GB2312" w:eastAsia="楷体_GB2312" w:hAnsi="楷体_GB2312" w:cs="楷体_GB2312" w:hint="eastAsia"/>
          <w:bCs/>
          <w:color w:val="000000"/>
          <w:sz w:val="30"/>
          <w:szCs w:val="30"/>
        </w:rPr>
        <w:t>月</w:t>
      </w:r>
    </w:p>
    <w:p w:rsidR="00ED776A" w:rsidRDefault="00ED776A">
      <w:pPr>
        <w:rPr>
          <w:rFonts w:ascii="黑体" w:eastAsia="黑体" w:hAnsi="黑体" w:cs="黑体"/>
          <w:bCs/>
          <w:lang w:val="zh-CN"/>
        </w:rPr>
      </w:pPr>
    </w:p>
    <w:p w:rsidR="00ED776A" w:rsidRDefault="00EB3580">
      <w:pPr>
        <w:pStyle w:val="Default"/>
        <w:snapToGrid w:val="0"/>
        <w:spacing w:line="560" w:lineRule="exact"/>
        <w:jc w:val="center"/>
        <w:rPr>
          <w:rFonts w:ascii="宋体" w:eastAsia="宋体" w:hAnsi="宋体"/>
          <w:b/>
          <w:color w:val="auto"/>
          <w:sz w:val="44"/>
          <w:szCs w:val="44"/>
        </w:rPr>
      </w:pPr>
      <w:bookmarkStart w:id="1" w:name="_Toc447549668"/>
      <w:r>
        <w:rPr>
          <w:rFonts w:ascii="宋体" w:eastAsia="宋体" w:hAnsi="宋体" w:hint="eastAsia"/>
          <w:b/>
          <w:color w:val="auto"/>
          <w:sz w:val="44"/>
          <w:szCs w:val="44"/>
        </w:rPr>
        <w:t>艾滋病和病毒性肝炎等重大传染病防治</w:t>
      </w:r>
    </w:p>
    <w:p w:rsidR="00ED776A" w:rsidRDefault="00EB3580">
      <w:pPr>
        <w:pStyle w:val="Default"/>
        <w:snapToGrid w:val="0"/>
        <w:spacing w:line="560" w:lineRule="exact"/>
        <w:jc w:val="center"/>
        <w:rPr>
          <w:rFonts w:ascii="宋体" w:eastAsia="宋体" w:hAnsi="宋体"/>
          <w:bCs/>
          <w:color w:val="auto"/>
          <w:sz w:val="44"/>
          <w:szCs w:val="44"/>
        </w:rPr>
      </w:pPr>
      <w:r>
        <w:rPr>
          <w:rFonts w:ascii="宋体" w:eastAsia="宋体" w:hAnsi="宋体" w:hint="eastAsia"/>
          <w:b/>
          <w:color w:val="auto"/>
          <w:sz w:val="44"/>
          <w:szCs w:val="44"/>
        </w:rPr>
        <w:t>国家科技重大专项</w:t>
      </w:r>
      <w:r>
        <w:rPr>
          <w:rFonts w:ascii="宋体" w:eastAsia="宋体" w:hAnsi="宋体" w:hint="eastAsia"/>
          <w:b/>
          <w:color w:val="auto"/>
          <w:sz w:val="44"/>
          <w:szCs w:val="44"/>
        </w:rPr>
        <w:t>2020</w:t>
      </w:r>
      <w:r>
        <w:rPr>
          <w:rFonts w:ascii="宋体" w:eastAsia="宋体" w:hAnsi="宋体" w:hint="eastAsia"/>
          <w:b/>
          <w:color w:val="auto"/>
          <w:sz w:val="44"/>
          <w:szCs w:val="44"/>
        </w:rPr>
        <w:t>年度课题申报指南</w:t>
      </w:r>
      <w:bookmarkEnd w:id="1"/>
    </w:p>
    <w:p w:rsidR="00ED776A" w:rsidRDefault="00ED776A">
      <w:pPr>
        <w:spacing w:line="560" w:lineRule="exact"/>
        <w:rPr>
          <w:rFonts w:ascii="黑体" w:eastAsia="黑体" w:hAnsi="黑体"/>
          <w:bCs/>
        </w:rPr>
      </w:pP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艾滋病和病毒性肝炎等重大传染病防治”科技重大专项（以下简称专项）以全面提高我国重大传染病的预防、诊断、治疗和控制水平，完善国家传染病综合防控、应急处置和科学研究三大技术支撑体系为目标，着眼于构建艾滋病、病毒性肝炎等重大传染病的防治体系，自主研发传染病诊断、预防和防护产品，制定适合我国国情的重大传染病临床治疗方案和防控策略，建立与发达国家水平相当的防治技术平台，为降低发病率、病死率提供科技支撑，为有效应对重大突发疫情、保持艾滋病低流行水平、乙肝向中低流行水平转变、肺结核“两率”降至中等发达国家水平，提供强有</w:t>
      </w:r>
      <w:r>
        <w:rPr>
          <w:rFonts w:ascii="仿宋_GB2312" w:eastAsia="仿宋_GB2312" w:hAnsi="仿宋_GB2312" w:cs="仿宋_GB2312" w:hint="eastAsia"/>
          <w:bCs/>
          <w:sz w:val="30"/>
          <w:szCs w:val="30"/>
        </w:rPr>
        <w:t>力的科技保障。</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“十三五”专项的主要任务已经基本部署完成。</w:t>
      </w:r>
      <w:r>
        <w:rPr>
          <w:rFonts w:ascii="仿宋_GB2312" w:eastAsia="仿宋_GB2312" w:hAnsi="仿宋_GB2312" w:cs="仿宋_GB2312" w:hint="eastAsia"/>
          <w:bCs/>
          <w:sz w:val="30"/>
          <w:szCs w:val="30"/>
        </w:rPr>
        <w:t>2020</w:t>
      </w:r>
      <w:r>
        <w:rPr>
          <w:rFonts w:ascii="仿宋_GB2312" w:eastAsia="仿宋_GB2312" w:hAnsi="仿宋_GB2312" w:cs="仿宋_GB2312" w:hint="eastAsia"/>
          <w:bCs/>
          <w:sz w:val="30"/>
          <w:szCs w:val="30"/>
        </w:rPr>
        <w:t>年是专项“十三五”期间的收尾阶段，将紧紧围绕专项总体目标，以“十三五”中期评估和深度评估为依据，</w:t>
      </w:r>
      <w:bookmarkStart w:id="2" w:name="_Toc447549708"/>
      <w:r>
        <w:rPr>
          <w:rFonts w:ascii="仿宋_GB2312" w:eastAsia="仿宋_GB2312" w:hAnsi="仿宋_GB2312" w:cs="仿宋_GB2312" w:hint="eastAsia"/>
          <w:bCs/>
          <w:sz w:val="30"/>
          <w:szCs w:val="30"/>
        </w:rPr>
        <w:t>以弥补薄弱环节、充实成果库和满足应急性需求为导向，以后立项后补助方式组织。</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2020</w:t>
      </w:r>
      <w:r>
        <w:rPr>
          <w:rFonts w:ascii="仿宋_GB2312" w:eastAsia="仿宋_GB2312" w:hAnsi="仿宋_GB2312" w:cs="仿宋_GB2312" w:hint="eastAsia"/>
          <w:bCs/>
          <w:sz w:val="30"/>
          <w:szCs w:val="30"/>
        </w:rPr>
        <w:t>年新立项课题组织立项工作将继续依托统一的国家科技管理信息系统公共服务平台</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以下简称公共服务平台</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，并由专业机构国家卫生健康委医药卫生科技发展研究中心（以下简称科技发展中心）具体实施。</w:t>
      </w:r>
    </w:p>
    <w:p w:rsidR="00ED776A" w:rsidRDefault="00EB3580">
      <w:pPr>
        <w:spacing w:line="560" w:lineRule="exact"/>
        <w:ind w:firstLine="600"/>
        <w:rPr>
          <w:rFonts w:ascii="仿宋_GB2312" w:hAnsi="仿宋"/>
          <w:bCs/>
          <w:sz w:val="30"/>
          <w:szCs w:val="30"/>
        </w:rPr>
      </w:pPr>
      <w:r>
        <w:rPr>
          <w:rFonts w:ascii="黑体" w:eastAsia="黑体" w:hAnsi="黑体" w:cs="黑体" w:hint="eastAsia"/>
          <w:sz w:val="30"/>
          <w:szCs w:val="30"/>
        </w:rPr>
        <w:t>一、研究方向</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2020</w:t>
      </w:r>
      <w:r>
        <w:rPr>
          <w:rFonts w:ascii="仿宋_GB2312" w:eastAsia="仿宋_GB2312" w:hAnsi="仿宋_GB2312" w:cs="仿宋_GB2312" w:hint="eastAsia"/>
          <w:bCs/>
          <w:sz w:val="30"/>
          <w:szCs w:val="30"/>
        </w:rPr>
        <w:t>年度课题支持符合以下全部条件的单位：</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）前期先行投入资金用于艾滋病、病毒性肝炎、结核病和突发急性传染病新型诊</w:t>
      </w:r>
      <w:r>
        <w:rPr>
          <w:rFonts w:ascii="仿宋_GB2312" w:eastAsia="仿宋_GB2312" w:hAnsi="仿宋_GB2312" w:cs="仿宋_GB2312" w:hint="eastAsia"/>
          <w:bCs/>
          <w:sz w:val="30"/>
          <w:szCs w:val="30"/>
        </w:rPr>
        <w:lastRenderedPageBreak/>
        <w:t>断</w:t>
      </w:r>
      <w:r>
        <w:rPr>
          <w:rFonts w:ascii="仿宋_GB2312" w:eastAsia="仿宋_GB2312" w:hAnsi="仿宋_GB2312" w:cs="仿宋_GB2312" w:hint="eastAsia"/>
          <w:bCs/>
          <w:sz w:val="30"/>
          <w:szCs w:val="30"/>
        </w:rPr>
        <w:t>试剂、配套设备等</w:t>
      </w:r>
      <w:r>
        <w:rPr>
          <w:rFonts w:ascii="仿宋_GB2312" w:eastAsia="仿宋_GB2312" w:hAnsi="仿宋_GB2312" w:cs="仿宋_GB2312" w:hint="eastAsia"/>
          <w:bCs/>
          <w:sz w:val="30"/>
          <w:szCs w:val="30"/>
        </w:rPr>
        <w:t>产品研究开发和科技服务活动，已取得了符合专项目标的传染病新型诊断</w:t>
      </w:r>
      <w:r>
        <w:rPr>
          <w:rFonts w:ascii="仿宋_GB2312" w:eastAsia="仿宋_GB2312" w:hAnsi="仿宋_GB2312" w:cs="仿宋_GB2312" w:hint="eastAsia"/>
          <w:bCs/>
          <w:sz w:val="30"/>
          <w:szCs w:val="30"/>
        </w:rPr>
        <w:t>试剂、配套设备等</w:t>
      </w:r>
      <w:r>
        <w:rPr>
          <w:rFonts w:ascii="仿宋_GB2312" w:eastAsia="仿宋_GB2312" w:hAnsi="仿宋_GB2312" w:cs="仿宋_GB2312" w:hint="eastAsia"/>
          <w:bCs/>
          <w:sz w:val="30"/>
          <w:szCs w:val="30"/>
        </w:rPr>
        <w:t>产品，在</w:t>
      </w:r>
      <w:r>
        <w:rPr>
          <w:rFonts w:ascii="仿宋_GB2312" w:eastAsia="仿宋_GB2312" w:hAnsi="仿宋_GB2312" w:cs="仿宋_GB2312" w:hint="eastAsia"/>
          <w:bCs/>
          <w:sz w:val="30"/>
          <w:szCs w:val="30"/>
        </w:rPr>
        <w:t>2016</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日之后获得医疗器械注册证书；</w:t>
      </w: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）解决传染病诊断方面存在的关键瓶颈问题和技术短板，具备产业化应用及推广价值；</w:t>
      </w: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）属于已完成的项目或课题，成果可验证和评价，性能指标达到国际先进水平，并获得业界认可及应用；</w:t>
      </w:r>
      <w:r>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）研发成果拥有自主知识产权；</w:t>
      </w:r>
      <w:r>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t>）申报单位为医疗器械注册证书持有单位；</w:t>
      </w:r>
      <w:r>
        <w:rPr>
          <w:rFonts w:ascii="仿宋_GB2312" w:eastAsia="仿宋_GB2312" w:hAnsi="仿宋_GB2312" w:cs="仿宋_GB2312" w:hint="eastAsia"/>
          <w:bCs/>
          <w:sz w:val="30"/>
          <w:szCs w:val="30"/>
        </w:rPr>
        <w:t>6</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在前期研发阶段未获得本专项支持</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w:t>
      </w:r>
    </w:p>
    <w:bookmarkEnd w:id="2"/>
    <w:p w:rsidR="00ED776A" w:rsidRDefault="00EB3580">
      <w:pPr>
        <w:spacing w:line="560" w:lineRule="exact"/>
        <w:ind w:firstLine="600"/>
        <w:outlineLvl w:val="2"/>
        <w:rPr>
          <w:rFonts w:ascii="黑体" w:eastAsia="黑体" w:hAnsi="黑体"/>
          <w:b/>
          <w:sz w:val="30"/>
          <w:szCs w:val="30"/>
        </w:rPr>
      </w:pPr>
      <w:r>
        <w:rPr>
          <w:rFonts w:ascii="黑体" w:eastAsia="黑体" w:hAnsi="黑体" w:hint="eastAsia"/>
          <w:sz w:val="30"/>
          <w:szCs w:val="30"/>
        </w:rPr>
        <w:t>二、申报评审方式</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2020</w:t>
      </w:r>
      <w:r>
        <w:rPr>
          <w:rFonts w:ascii="仿宋_GB2312" w:eastAsia="仿宋_GB2312" w:hAnsi="仿宋_GB2312" w:cs="仿宋_GB2312" w:hint="eastAsia"/>
          <w:bCs/>
          <w:sz w:val="30"/>
          <w:szCs w:val="30"/>
        </w:rPr>
        <w:t>年立项采用后立项后补助方式。由符合条件的申报单位，严格按照指南规定的要求，编制课题实施方案，并向科技发展中心提交申报材料。科技发展中心组织专家对申报单位的研究成果和产品进行技术评审，包括该项成果解决的重大技术问题、技术创新点、应用现状或前景、知识产权保护情况等，择优遴选入围课题，委托具有相应资质的第三方机构进行预算评审后给予财政资金支持。</w:t>
      </w:r>
    </w:p>
    <w:p w:rsidR="00ED776A" w:rsidRDefault="00EB3580">
      <w:pPr>
        <w:pStyle w:val="1"/>
        <w:keepNext w:val="0"/>
        <w:keepLines w:val="0"/>
        <w:spacing w:before="0" w:after="0" w:line="560" w:lineRule="exact"/>
        <w:ind w:firstLine="600"/>
        <w:rPr>
          <w:rFonts w:ascii="黑体" w:eastAsia="黑体" w:hAnsi="黑体"/>
          <w:b w:val="0"/>
          <w:sz w:val="30"/>
          <w:szCs w:val="30"/>
        </w:rPr>
      </w:pPr>
      <w:r>
        <w:rPr>
          <w:rFonts w:ascii="黑体" w:eastAsia="黑体" w:hAnsi="黑体" w:hint="eastAsia"/>
          <w:b w:val="0"/>
          <w:sz w:val="30"/>
          <w:szCs w:val="30"/>
        </w:rPr>
        <w:t>三、经费支持</w:t>
      </w:r>
    </w:p>
    <w:p w:rsidR="00ED776A" w:rsidRDefault="00EB3580">
      <w:pPr>
        <w:spacing w:line="560" w:lineRule="exact"/>
        <w:ind w:firstLine="600"/>
        <w:rPr>
          <w:rFonts w:ascii="仿宋_GB2312" w:eastAsia="仿宋_GB2312" w:hAnsi="仿宋_GB2312" w:cs="仿宋_GB2312"/>
          <w:bCs/>
          <w:sz w:val="30"/>
          <w:szCs w:val="30"/>
        </w:rPr>
      </w:pPr>
      <w:bookmarkStart w:id="3" w:name="_Toc470264532"/>
      <w:r>
        <w:rPr>
          <w:rFonts w:ascii="仿宋_GB2312" w:eastAsia="仿宋_GB2312" w:hAnsi="仿宋_GB2312" w:cs="仿宋_GB2312" w:hint="eastAsia"/>
          <w:bCs/>
          <w:sz w:val="30"/>
          <w:szCs w:val="30"/>
        </w:rPr>
        <w:t>入围课题单位编制后补助课题支出情况报告，申请中央财政经费数额。科技发展中心委托具有相应资质的第</w:t>
      </w:r>
      <w:r>
        <w:rPr>
          <w:rFonts w:ascii="仿宋_GB2312" w:eastAsia="仿宋_GB2312" w:hAnsi="仿宋_GB2312" w:cs="仿宋_GB2312" w:hint="eastAsia"/>
          <w:bCs/>
          <w:sz w:val="30"/>
          <w:szCs w:val="30"/>
        </w:rPr>
        <w:t>三方机构进行评审后给予财政资金支持。各申报单位应按照实际研发情况，实事求是编制支出情况报告。</w:t>
      </w:r>
    </w:p>
    <w:p w:rsidR="00ED776A" w:rsidRDefault="00EB3580">
      <w:pPr>
        <w:spacing w:line="560" w:lineRule="exact"/>
        <w:ind w:firstLine="600"/>
        <w:outlineLvl w:val="0"/>
        <w:rPr>
          <w:rFonts w:eastAsia="黑体"/>
          <w:bCs/>
          <w:sz w:val="30"/>
          <w:szCs w:val="30"/>
        </w:rPr>
      </w:pPr>
      <w:bookmarkStart w:id="4" w:name="_Toc31233"/>
      <w:bookmarkStart w:id="5" w:name="_Toc1244"/>
      <w:bookmarkStart w:id="6" w:name="_Toc12066"/>
      <w:bookmarkStart w:id="7" w:name="_Toc483082422"/>
      <w:bookmarkStart w:id="8" w:name="_Toc11288"/>
      <w:r>
        <w:rPr>
          <w:rFonts w:eastAsia="黑体" w:hint="eastAsia"/>
          <w:bCs/>
          <w:sz w:val="30"/>
          <w:szCs w:val="30"/>
        </w:rPr>
        <w:t>四、申报条件和要求</w:t>
      </w:r>
      <w:bookmarkEnd w:id="3"/>
      <w:bookmarkEnd w:id="4"/>
      <w:bookmarkEnd w:id="5"/>
      <w:bookmarkEnd w:id="6"/>
      <w:bookmarkEnd w:id="7"/>
      <w:bookmarkEnd w:id="8"/>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（一）申报单位应按照申报指南中的研究内容、考核指标、相关说明、实施期限、申报方式等要求进行申报。</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（二）申报单位应为中国大陆境内注册</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年以上（注册时间为</w:t>
      </w:r>
      <w:r>
        <w:rPr>
          <w:rFonts w:ascii="仿宋_GB2312" w:eastAsia="仿宋_GB2312" w:hAnsi="仿宋_GB2312" w:cs="仿宋_GB2312" w:hint="eastAsia"/>
          <w:bCs/>
          <w:sz w:val="30"/>
          <w:szCs w:val="30"/>
        </w:rPr>
        <w:t>201</w:t>
      </w:r>
      <w:r>
        <w:rPr>
          <w:rFonts w:ascii="仿宋_GB2312" w:eastAsia="仿宋_GB2312" w:hAnsi="仿宋_GB2312" w:cs="仿宋_GB2312" w:hint="eastAsia"/>
          <w:bCs/>
          <w:sz w:val="30"/>
          <w:szCs w:val="30"/>
        </w:rPr>
        <w:t>8</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0</w:t>
      </w:r>
      <w:r>
        <w:rPr>
          <w:rFonts w:ascii="仿宋_GB2312" w:eastAsia="仿宋_GB2312" w:hAnsi="仿宋_GB2312" w:cs="仿宋_GB2312" w:hint="eastAsia"/>
          <w:bCs/>
          <w:sz w:val="30"/>
          <w:szCs w:val="30"/>
        </w:rPr>
        <w:t>日前）的企事业法人单位，具有较强的科技研发能</w:t>
      </w:r>
      <w:r>
        <w:rPr>
          <w:rFonts w:ascii="仿宋_GB2312" w:eastAsia="仿宋_GB2312" w:hAnsi="仿宋_GB2312" w:cs="仿宋_GB2312" w:hint="eastAsia"/>
          <w:bCs/>
          <w:sz w:val="30"/>
          <w:szCs w:val="30"/>
        </w:rPr>
        <w:lastRenderedPageBreak/>
        <w:t>力和条件，运行管理规范，过去</w:t>
      </w:r>
      <w:r>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t>年内在申请和承担国家科技计划项目中无不良信用记录。政府机关不得作为申报单位进行申报。同一课题须通过单个推荐单位单一途径推荐申报，不得多头申报和重复申报。</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（三）课题负责人</w:t>
      </w:r>
      <w:r>
        <w:rPr>
          <w:rFonts w:ascii="仿宋_GB2312" w:eastAsia="仿宋_GB2312" w:hAnsi="仿宋_GB2312" w:cs="仿宋_GB2312" w:hint="eastAsia"/>
          <w:bCs/>
          <w:sz w:val="30"/>
          <w:szCs w:val="30"/>
        </w:rPr>
        <w:t>须为</w:t>
      </w:r>
      <w:r>
        <w:rPr>
          <w:rFonts w:ascii="仿宋_GB2312" w:eastAsia="仿宋_GB2312" w:hAnsi="仿宋_GB2312" w:cs="仿宋_GB2312" w:hint="eastAsia"/>
          <w:bCs/>
          <w:sz w:val="30"/>
          <w:szCs w:val="30"/>
        </w:rPr>
        <w:t>1959</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12</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日以后出生</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工作时间每年不得少于</w:t>
      </w:r>
      <w:r>
        <w:rPr>
          <w:rFonts w:ascii="仿宋_GB2312" w:eastAsia="仿宋_GB2312" w:hAnsi="仿宋_GB2312" w:cs="仿宋_GB2312" w:hint="eastAsia"/>
          <w:bCs/>
          <w:sz w:val="30"/>
          <w:szCs w:val="30"/>
        </w:rPr>
        <w:t>6</w:t>
      </w:r>
      <w:r>
        <w:rPr>
          <w:rFonts w:ascii="仿宋_GB2312" w:eastAsia="仿宋_GB2312" w:hAnsi="仿宋_GB2312" w:cs="仿宋_GB2312" w:hint="eastAsia"/>
          <w:bCs/>
          <w:sz w:val="30"/>
          <w:szCs w:val="30"/>
        </w:rPr>
        <w:t>个月。课题负责人须具有副高级（含）以上专业职称，或已获得博士学位两年以上并有固定工作单位（不包括在站博士后）。课题负责人应为该课题主体研究思路的提出者和实际主持研究的科技人员。中央和地方各级政府的公务人员（包括行使科技计划管理职能的其他人员）不得申报课题。</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（四）为确保国家科技重大专项研究任务的完成，课题负责人限申报</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个课题。国家重点基础研究发展计划（</w:t>
      </w:r>
      <w:r>
        <w:rPr>
          <w:rFonts w:ascii="仿宋_GB2312" w:eastAsia="仿宋_GB2312" w:hAnsi="仿宋_GB2312" w:cs="仿宋_GB2312" w:hint="eastAsia"/>
          <w:bCs/>
          <w:sz w:val="30"/>
          <w:szCs w:val="30"/>
        </w:rPr>
        <w:t>973</w:t>
      </w:r>
      <w:r>
        <w:rPr>
          <w:rFonts w:ascii="仿宋_GB2312" w:eastAsia="仿宋_GB2312" w:hAnsi="仿宋_GB2312" w:cs="仿宋_GB2312" w:hint="eastAsia"/>
          <w:bCs/>
          <w:sz w:val="30"/>
          <w:szCs w:val="30"/>
        </w:rPr>
        <w:t>计划，含重大科学研究计划）、国家高技术研究发展计划（</w:t>
      </w:r>
      <w:r>
        <w:rPr>
          <w:rFonts w:ascii="仿宋_GB2312" w:eastAsia="仿宋_GB2312" w:hAnsi="仿宋_GB2312" w:cs="仿宋_GB2312" w:hint="eastAsia"/>
          <w:bCs/>
          <w:sz w:val="30"/>
          <w:szCs w:val="30"/>
        </w:rPr>
        <w:t>863</w:t>
      </w:r>
      <w:r>
        <w:rPr>
          <w:rFonts w:ascii="仿宋_GB2312" w:eastAsia="仿宋_GB2312" w:hAnsi="仿宋_GB2312" w:cs="仿宋_GB2312" w:hint="eastAsia"/>
          <w:bCs/>
          <w:sz w:val="30"/>
          <w:szCs w:val="30"/>
        </w:rPr>
        <w:t>计划）、国家科技支撑</w:t>
      </w:r>
      <w:r>
        <w:rPr>
          <w:rFonts w:ascii="仿宋_GB2312" w:eastAsia="仿宋_GB2312" w:hAnsi="仿宋_GB2312" w:cs="仿宋_GB2312" w:hint="eastAsia"/>
          <w:bCs/>
          <w:sz w:val="30"/>
          <w:szCs w:val="30"/>
        </w:rPr>
        <w:t>计划、国家国际科技合作专项、国家重大科学仪器设备开发专项、公益性行业科研专项（以下简称改革前计划），国家重点研发计划的在研项目（含任务或课题）负责人以及国家科技重大专项的在研课题（含子课题）负责人不得牵头申报本专项课题。课题主要参加人员的申报课题和改革前计划、国家重点研发计划在研项目（含任务或课题）、国家科技重大专项在研课题（含子课题）总数不得超过</w:t>
      </w: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个；改革前计划、国家重点研发计划在研项目（含任务或课题）负责人、国家科技重大专项在研课题（含子课题）负责人不得因申报本专项课题而退出目前承担的任务。任务合同书执</w:t>
      </w:r>
      <w:r>
        <w:rPr>
          <w:rFonts w:ascii="仿宋_GB2312" w:eastAsia="仿宋_GB2312" w:hAnsi="仿宋_GB2312" w:cs="仿宋_GB2312" w:hint="eastAsia"/>
          <w:bCs/>
          <w:sz w:val="30"/>
          <w:szCs w:val="30"/>
        </w:rPr>
        <w:t>行期到</w:t>
      </w:r>
      <w:r>
        <w:rPr>
          <w:rFonts w:ascii="仿宋_GB2312" w:eastAsia="仿宋_GB2312" w:hAnsi="仿宋_GB2312" w:cs="仿宋_GB2312" w:hint="eastAsia"/>
          <w:bCs/>
          <w:sz w:val="30"/>
          <w:szCs w:val="30"/>
        </w:rPr>
        <w:t>2019</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12</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31</w:t>
      </w:r>
      <w:r>
        <w:rPr>
          <w:rFonts w:ascii="仿宋_GB2312" w:eastAsia="仿宋_GB2312" w:hAnsi="仿宋_GB2312" w:cs="仿宋_GB2312" w:hint="eastAsia"/>
          <w:bCs/>
          <w:sz w:val="30"/>
          <w:szCs w:val="30"/>
        </w:rPr>
        <w:t>日前的在研课题不在限项范围内。</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各申报单位在正式提交课题申报书前可利用公共服务平台查询相关参与人员承担改革前计划、国家重点研发计划和国家科技重大</w:t>
      </w:r>
      <w:r>
        <w:rPr>
          <w:rFonts w:ascii="仿宋_GB2312" w:eastAsia="仿宋_GB2312" w:hAnsi="仿宋_GB2312" w:cs="仿宋_GB2312" w:hint="eastAsia"/>
          <w:bCs/>
          <w:sz w:val="30"/>
          <w:szCs w:val="30"/>
        </w:rPr>
        <w:lastRenderedPageBreak/>
        <w:t>专项在研课题情况，避免重复申报。</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（五）专项总体专家组成员原则上不得牵头或参与本专项课题申报。</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六）受聘于内地单位的外籍科学家及港、澳、台地区科学家可申请作为本专项的课题负责人，全职受聘人员须由内地聘用单位提供全职聘用的有效证明，非全职受聘人员须由内地聘用单位和境外单位同时提供聘用的有效证明，并随纸质课题申报材料一并报送。</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（七）课题负责</w:t>
      </w:r>
      <w:r>
        <w:rPr>
          <w:rFonts w:ascii="仿宋_GB2312" w:eastAsia="仿宋_GB2312" w:hAnsi="仿宋_GB2312" w:cs="仿宋_GB2312" w:hint="eastAsia"/>
          <w:bCs/>
          <w:sz w:val="30"/>
          <w:szCs w:val="30"/>
        </w:rPr>
        <w:t>人过去</w:t>
      </w: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年内在申报和承担国家科技计划项目中无不良信用记录。</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八）课题负责人须遵守科学道德，实事求是地填写课题申报书，保证课题申报书的真实性，不得弄虚作假，不得将研究内容相同或者近似的课题进行重复申报。对于故意在课题申报中提供虚假资料的，一经查实，取消申报课题，纳入诚信记录，并在</w:t>
      </w: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年内取消个人申报本专项的资格，根据实际情况，对申报单位给予通报和处理。</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（九）联合申报各方须签订联合申报协议，明确约定各自所承担的任务、责任和经费。其他单位以协作方式参与课题实施。</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（十）国内课题申报单位可以与境外（包括港澳台地区</w:t>
      </w:r>
      <w:r>
        <w:rPr>
          <w:rFonts w:ascii="仿宋_GB2312" w:eastAsia="仿宋_GB2312" w:hAnsi="仿宋_GB2312" w:cs="仿宋_GB2312" w:hint="eastAsia"/>
          <w:bCs/>
          <w:sz w:val="30"/>
          <w:szCs w:val="30"/>
        </w:rPr>
        <w:t>）研发机构联合申请，应有明确的知识产权归属合同约定。</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（十一）既往承担专项课题（含子课题），验收结论为“不通过”的单位和负责人不得申报。</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（十二）课题申请受理后，不能更改申报单位和负责人。</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（十三）其他曾严重违反专项管理规定的单位和人员不得申报。</w:t>
      </w:r>
    </w:p>
    <w:p w:rsidR="00ED776A" w:rsidRDefault="00EB3580">
      <w:pPr>
        <w:spacing w:line="560" w:lineRule="exact"/>
        <w:ind w:firstLine="600"/>
        <w:outlineLvl w:val="0"/>
        <w:rPr>
          <w:rFonts w:eastAsia="黑体"/>
          <w:bCs/>
          <w:sz w:val="30"/>
          <w:szCs w:val="30"/>
        </w:rPr>
      </w:pPr>
      <w:bookmarkStart w:id="9" w:name="_Toc22710"/>
      <w:bookmarkStart w:id="10" w:name="_Toc27027"/>
      <w:bookmarkStart w:id="11" w:name="_Toc470264533"/>
      <w:bookmarkStart w:id="12" w:name="_Toc14882"/>
      <w:bookmarkStart w:id="13" w:name="_Toc8080"/>
      <w:bookmarkStart w:id="14" w:name="_Toc483082423"/>
      <w:r>
        <w:rPr>
          <w:rFonts w:eastAsia="黑体" w:hint="eastAsia"/>
          <w:bCs/>
          <w:sz w:val="30"/>
          <w:szCs w:val="30"/>
        </w:rPr>
        <w:t>五、申报流程</w:t>
      </w:r>
      <w:bookmarkEnd w:id="9"/>
      <w:bookmarkEnd w:id="10"/>
      <w:bookmarkEnd w:id="11"/>
      <w:bookmarkEnd w:id="12"/>
      <w:bookmarkEnd w:id="13"/>
      <w:bookmarkEnd w:id="14"/>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申报单位根据申报指南要求，通过公共服务平台填写并提交申</w:t>
      </w:r>
      <w:r>
        <w:rPr>
          <w:rFonts w:ascii="仿宋_GB2312" w:eastAsia="仿宋_GB2312" w:hAnsi="仿宋_GB2312" w:cs="仿宋_GB2312" w:hint="eastAsia"/>
          <w:bCs/>
          <w:sz w:val="30"/>
          <w:szCs w:val="30"/>
        </w:rPr>
        <w:lastRenderedPageBreak/>
        <w:t>报书。推荐单位对课题申报单位及联合单位的资质、科研能力等进行审核，并通过公共服务平台统一报送。推荐单位主要有：国务院有关部门科技主管机构，军委后勤保障部卫生局；各省、自治区、直辖市、计划单列市及新疆生产建设兵团科技主管部门、卫生健康主管部门；原工业部门转制成立的行业协会；纳入科技部试点范围并且评估结果为</w:t>
      </w:r>
      <w:r>
        <w:rPr>
          <w:rFonts w:ascii="仿宋_GB2312" w:eastAsia="仿宋_GB2312" w:hAnsi="仿宋_GB2312" w:cs="仿宋_GB2312" w:hint="eastAsia"/>
          <w:bCs/>
          <w:sz w:val="30"/>
          <w:szCs w:val="30"/>
        </w:rPr>
        <w:t>A</w:t>
      </w:r>
      <w:r>
        <w:rPr>
          <w:rFonts w:ascii="仿宋_GB2312" w:eastAsia="仿宋_GB2312" w:hAnsi="仿宋_GB2312" w:cs="仿宋_GB2312" w:hint="eastAsia"/>
          <w:bCs/>
          <w:sz w:val="30"/>
          <w:szCs w:val="30"/>
        </w:rPr>
        <w:t>类的产业技术创新战略联盟，以及纳入科技部、财政部开展的科技服务业创新发展行业试点联盟。</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各推荐单位应在本单位职能和业务范围内推荐，并对所推荐课题的真实性</w:t>
      </w:r>
      <w:r>
        <w:rPr>
          <w:rFonts w:ascii="仿宋_GB2312" w:eastAsia="仿宋_GB2312" w:hAnsi="仿宋_GB2312" w:cs="仿宋_GB2312" w:hint="eastAsia"/>
          <w:bCs/>
          <w:sz w:val="30"/>
          <w:szCs w:val="30"/>
        </w:rPr>
        <w:t>等负责。国务院有关部门、军委后勤保障部限推荐与其有业务指导关系的单位，行业协会和产业技术创新战略联盟、科技服务业创新发展行业试点联盟推荐其会员单位，省级科技主管部门、卫生健康主管部门推荐其行政区划内的单位。</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科技发展中心在受理课题申报后，进行形式审查，并组织专家开展评审工作。</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网上填报。课题申报通过公共服务平台在线填报。申报单位通过公共服务平台完成单位注册、账号创建、在线填报、在线提交等工作，报送至推荐单位。推荐单位完成在线审查并上报。填报信息将作为后续形式审查、评审答辩的依据。请按照时间要求完成网上</w:t>
      </w:r>
      <w:r>
        <w:rPr>
          <w:rFonts w:ascii="仿宋_GB2312" w:eastAsia="仿宋_GB2312" w:hAnsi="仿宋_GB2312" w:cs="仿宋_GB2312" w:hint="eastAsia"/>
          <w:bCs/>
          <w:sz w:val="30"/>
          <w:szCs w:val="30"/>
        </w:rPr>
        <w:t>填报工作。</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单位注册。申报单位通过公共服务平台进行在线注册，具体注册流程及要求请认真阅读公共服务平台说明。已经注册的申报单位不需要重新注册，未注册单位建议尽早完成注册。</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账号创建。单位注册通过审核后，申报单位使用所注册的账号（单位管理员账号）登录公共服务平台，创建申报用户账号，并将申报课题在线授权给申报用户。</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3.</w:t>
      </w:r>
      <w:r>
        <w:rPr>
          <w:rFonts w:ascii="仿宋_GB2312" w:eastAsia="仿宋_GB2312" w:hAnsi="仿宋_GB2312" w:cs="仿宋_GB2312" w:hint="eastAsia"/>
          <w:bCs/>
          <w:sz w:val="30"/>
          <w:szCs w:val="30"/>
        </w:rPr>
        <w:t>在线填报。申报用户在线填报申报材料，完成后提交至单位管理员审核。单位管理员审核确认后，将申报材料在线提交至推荐单位，推荐单位审核后提交到科技发展中心。</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填报时间。申报课题申报单位网上填</w:t>
      </w:r>
      <w:r>
        <w:rPr>
          <w:rFonts w:ascii="仿宋_GB2312" w:eastAsia="仿宋_GB2312" w:hAnsi="仿宋_GB2312" w:cs="仿宋_GB2312" w:hint="eastAsia"/>
          <w:bCs/>
          <w:sz w:val="30"/>
          <w:szCs w:val="30"/>
        </w:rPr>
        <w:t>报申报书的时间为：</w:t>
      </w:r>
      <w:r>
        <w:rPr>
          <w:rFonts w:ascii="仿宋_GB2312" w:eastAsia="仿宋_GB2312" w:hAnsi="仿宋_GB2312" w:cs="仿宋_GB2312" w:hint="eastAsia"/>
          <w:bCs/>
          <w:sz w:val="30"/>
          <w:szCs w:val="30"/>
        </w:rPr>
        <w:t>2019</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11</w:t>
      </w:r>
      <w:r>
        <w:rPr>
          <w:rFonts w:ascii="仿宋_GB2312" w:eastAsia="仿宋_GB2312" w:hAnsi="仿宋_GB2312" w:cs="仿宋_GB2312" w:hint="eastAsia"/>
          <w:bCs/>
          <w:sz w:val="30"/>
          <w:szCs w:val="30"/>
        </w:rPr>
        <w:t>日</w:t>
      </w:r>
      <w:r>
        <w:rPr>
          <w:rFonts w:ascii="仿宋_GB2312" w:eastAsia="仿宋_GB2312" w:hAnsi="仿宋_GB2312" w:cs="仿宋_GB2312" w:hint="eastAsia"/>
          <w:bCs/>
          <w:sz w:val="30"/>
          <w:szCs w:val="30"/>
        </w:rPr>
        <w:t>8:00-2019</w:t>
      </w:r>
      <w:r>
        <w:rPr>
          <w:rFonts w:ascii="仿宋_GB2312" w:eastAsia="仿宋_GB2312" w:hAnsi="仿宋_GB2312" w:cs="仿宋_GB2312" w:hint="eastAsia"/>
          <w:bCs/>
          <w:sz w:val="30"/>
          <w:szCs w:val="30"/>
        </w:rPr>
        <w:t>年</w:t>
      </w:r>
      <w:r>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月</w:t>
      </w:r>
      <w:r>
        <w:rPr>
          <w:rFonts w:ascii="仿宋_GB2312" w:eastAsia="仿宋_GB2312" w:hAnsi="仿宋_GB2312" w:cs="仿宋_GB2312" w:hint="eastAsia"/>
          <w:bCs/>
          <w:sz w:val="30"/>
          <w:szCs w:val="30"/>
        </w:rPr>
        <w:t>10</w:t>
      </w:r>
      <w:r>
        <w:rPr>
          <w:rFonts w:ascii="仿宋_GB2312" w:eastAsia="仿宋_GB2312" w:hAnsi="仿宋_GB2312" w:cs="仿宋_GB2312" w:hint="eastAsia"/>
          <w:bCs/>
          <w:sz w:val="30"/>
          <w:szCs w:val="30"/>
        </w:rPr>
        <w:t>日</w:t>
      </w:r>
      <w:r>
        <w:rPr>
          <w:rFonts w:ascii="仿宋_GB2312" w:eastAsia="仿宋_GB2312" w:hAnsi="仿宋_GB2312" w:cs="仿宋_GB2312" w:hint="eastAsia"/>
          <w:bCs/>
          <w:sz w:val="30"/>
          <w:szCs w:val="30"/>
        </w:rPr>
        <w:t>17:00</w:t>
      </w:r>
      <w:r>
        <w:rPr>
          <w:rFonts w:ascii="仿宋_GB2312" w:eastAsia="仿宋_GB2312" w:hAnsi="仿宋_GB2312" w:cs="仿宋_GB2312" w:hint="eastAsia"/>
          <w:bCs/>
          <w:sz w:val="30"/>
          <w:szCs w:val="30"/>
        </w:rPr>
        <w:t>。请申报单位合理安排课题填报时间，按时提交课题申报材料。</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公共服务平台网站：</w:t>
      </w:r>
      <w:r>
        <w:rPr>
          <w:rFonts w:ascii="仿宋_GB2312" w:eastAsia="仿宋_GB2312" w:hAnsi="仿宋_GB2312" w:cs="仿宋_GB2312" w:hint="eastAsia"/>
          <w:bCs/>
          <w:sz w:val="30"/>
          <w:szCs w:val="30"/>
        </w:rPr>
        <w:t>http://service.most.</w:t>
      </w:r>
      <w:r>
        <w:rPr>
          <w:rFonts w:ascii="仿宋_GB2312" w:eastAsia="仿宋_GB2312" w:hAnsi="仿宋_GB2312" w:cs="仿宋_GB2312" w:hint="eastAsia"/>
          <w:bCs/>
          <w:sz w:val="30"/>
          <w:szCs w:val="30"/>
        </w:rPr>
        <w:t>gov.</w:t>
      </w:r>
      <w:r>
        <w:rPr>
          <w:rFonts w:ascii="仿宋_GB2312" w:eastAsia="仿宋_GB2312" w:hAnsi="仿宋_GB2312" w:cs="仿宋_GB2312" w:hint="eastAsia"/>
          <w:bCs/>
          <w:sz w:val="30"/>
          <w:szCs w:val="30"/>
        </w:rPr>
        <w:t>cn</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咨询电话：</w:t>
      </w:r>
      <w:r>
        <w:rPr>
          <w:rFonts w:ascii="仿宋_GB2312" w:eastAsia="仿宋_GB2312" w:hAnsi="仿宋_GB2312" w:cs="仿宋_GB2312" w:hint="eastAsia"/>
          <w:bCs/>
          <w:sz w:val="30"/>
          <w:szCs w:val="30"/>
        </w:rPr>
        <w:t>010-58882999</w:t>
      </w:r>
      <w:r>
        <w:rPr>
          <w:rFonts w:ascii="仿宋_GB2312" w:eastAsia="仿宋_GB2312" w:hAnsi="仿宋_GB2312" w:cs="仿宋_GB2312" w:hint="eastAsia"/>
          <w:bCs/>
          <w:sz w:val="30"/>
          <w:szCs w:val="30"/>
        </w:rPr>
        <w:t>（中继线）</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传真：</w:t>
      </w:r>
      <w:r>
        <w:rPr>
          <w:rFonts w:ascii="仿宋_GB2312" w:eastAsia="仿宋_GB2312" w:hAnsi="仿宋_GB2312" w:cs="仿宋_GB2312" w:hint="eastAsia"/>
          <w:bCs/>
          <w:sz w:val="30"/>
          <w:szCs w:val="30"/>
        </w:rPr>
        <w:t>010-58882370</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技术支持邮箱：</w:t>
      </w:r>
      <w:hyperlink r:id="rId13" w:history="1">
        <w:r>
          <w:rPr>
            <w:rFonts w:ascii="仿宋_GB2312" w:eastAsia="仿宋_GB2312" w:hAnsi="仿宋_GB2312" w:cs="仿宋_GB2312" w:hint="eastAsia"/>
            <w:bCs/>
            <w:sz w:val="30"/>
            <w:szCs w:val="30"/>
          </w:rPr>
          <w:t>program@istic.ac.cn</w:t>
        </w:r>
      </w:hyperlink>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（二）组织推荐。请推荐单位于网上填报截止后</w:t>
      </w:r>
      <w:r>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t>个自然日内（以寄出时间为准），将加盖推荐单位公章的推荐函（纸质，一式</w:t>
      </w: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份）、推荐项目清单（纸质，一式</w:t>
      </w: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份）寄送科技发展中心。推荐项目清单须通过系统直接生成打印。</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（三）材料报送。课题申报书在线提交后，申报单位下载申报书电子版，并用</w:t>
      </w:r>
      <w:r>
        <w:rPr>
          <w:rFonts w:ascii="仿宋_GB2312" w:eastAsia="仿宋_GB2312" w:hAnsi="仿宋_GB2312" w:cs="仿宋_GB2312" w:hint="eastAsia"/>
          <w:bCs/>
          <w:sz w:val="30"/>
          <w:szCs w:val="30"/>
        </w:rPr>
        <w:t>A4</w:t>
      </w:r>
      <w:r>
        <w:rPr>
          <w:rFonts w:ascii="仿宋_GB2312" w:eastAsia="仿宋_GB2312" w:hAnsi="仿宋_GB2312" w:cs="仿宋_GB2312" w:hint="eastAsia"/>
          <w:bCs/>
          <w:sz w:val="30"/>
          <w:szCs w:val="30"/>
        </w:rPr>
        <w:t>纸双面打印，正文与附件一并装订成册（简易胶装），一式</w:t>
      </w: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份（均为盖章原件，封面标注正本，自行存档份数自定）；电子版光盘一份。</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申报单位于网上填报截止后</w:t>
      </w:r>
      <w:r>
        <w:rPr>
          <w:rFonts w:ascii="仿宋_GB2312" w:eastAsia="仿宋_GB2312" w:hAnsi="仿宋_GB2312" w:cs="仿宋_GB2312" w:hint="eastAsia"/>
          <w:bCs/>
          <w:sz w:val="30"/>
          <w:szCs w:val="30"/>
        </w:rPr>
        <w:t>7</w:t>
      </w:r>
      <w:r>
        <w:rPr>
          <w:rFonts w:ascii="仿宋_GB2312" w:eastAsia="仿宋_GB2312" w:hAnsi="仿宋_GB2312" w:cs="仿宋_GB2312" w:hint="eastAsia"/>
          <w:bCs/>
          <w:sz w:val="30"/>
          <w:szCs w:val="30"/>
        </w:rPr>
        <w:t>个自然日内将加盖申报单位公章的申报书（纸质，一式</w:t>
      </w: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份）送达科技发展中心。</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（四）集中</w:t>
      </w:r>
      <w:r>
        <w:rPr>
          <w:rFonts w:ascii="仿宋_GB2312" w:eastAsia="仿宋_GB2312" w:hAnsi="仿宋_GB2312" w:cs="仿宋_GB2312" w:hint="eastAsia"/>
          <w:bCs/>
          <w:sz w:val="30"/>
          <w:szCs w:val="30"/>
        </w:rPr>
        <w:t>形式审查。收到申报材料后，科技发展中心组织开展集中形式审查。通过形式审查的课题，将进入后续评审环节。</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（五）请严格按照时间要求完成提交和报送，逾期不予受理。</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（六）材料报送地址与咨询电话：</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受理单位：国家卫生健康委医药卫生科技发展研究中心</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寄送地址：北京市西城区车公庄大街</w:t>
      </w:r>
      <w:r>
        <w:rPr>
          <w:rFonts w:ascii="仿宋_GB2312" w:eastAsia="仿宋_GB2312" w:hAnsi="仿宋_GB2312" w:cs="仿宋_GB2312" w:hint="eastAsia"/>
          <w:bCs/>
          <w:sz w:val="30"/>
          <w:szCs w:val="30"/>
        </w:rPr>
        <w:t>9</w:t>
      </w:r>
      <w:r>
        <w:rPr>
          <w:rFonts w:ascii="仿宋_GB2312" w:eastAsia="仿宋_GB2312" w:hAnsi="仿宋_GB2312" w:cs="仿宋_GB2312" w:hint="eastAsia"/>
          <w:bCs/>
          <w:sz w:val="30"/>
          <w:szCs w:val="30"/>
        </w:rPr>
        <w:t>号五栋大楼</w:t>
      </w:r>
      <w:r>
        <w:rPr>
          <w:rFonts w:ascii="仿宋_GB2312" w:eastAsia="仿宋_GB2312" w:hAnsi="仿宋_GB2312" w:cs="仿宋_GB2312" w:hint="eastAsia"/>
          <w:bCs/>
          <w:sz w:val="30"/>
          <w:szCs w:val="30"/>
        </w:rPr>
        <w:t>B3</w:t>
      </w:r>
      <w:r>
        <w:rPr>
          <w:rFonts w:ascii="仿宋_GB2312" w:eastAsia="仿宋_GB2312" w:hAnsi="仿宋_GB2312" w:cs="仿宋_GB2312" w:hint="eastAsia"/>
          <w:bCs/>
          <w:sz w:val="30"/>
          <w:szCs w:val="30"/>
        </w:rPr>
        <w:t>座</w:t>
      </w:r>
      <w:r>
        <w:rPr>
          <w:rFonts w:ascii="仿宋_GB2312" w:eastAsia="仿宋_GB2312" w:hAnsi="仿宋_GB2312" w:cs="仿宋_GB2312" w:hint="eastAsia"/>
          <w:bCs/>
          <w:sz w:val="30"/>
          <w:szCs w:val="30"/>
        </w:rPr>
        <w:t>5</w:t>
      </w:r>
      <w:r>
        <w:rPr>
          <w:rFonts w:ascii="仿宋_GB2312" w:eastAsia="仿宋_GB2312" w:hAnsi="仿宋_GB2312" w:cs="仿宋_GB2312" w:hint="eastAsia"/>
          <w:bCs/>
          <w:sz w:val="30"/>
          <w:szCs w:val="30"/>
        </w:rPr>
        <w:t>层传染病专项业务组</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邮政编码：</w:t>
      </w:r>
      <w:r>
        <w:rPr>
          <w:rFonts w:ascii="仿宋_GB2312" w:eastAsia="仿宋_GB2312" w:hAnsi="仿宋_GB2312" w:cs="仿宋_GB2312" w:hint="eastAsia"/>
          <w:bCs/>
          <w:sz w:val="30"/>
          <w:szCs w:val="30"/>
        </w:rPr>
        <w:t>100044</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咨询电话：</w:t>
      </w:r>
      <w:r>
        <w:rPr>
          <w:rFonts w:ascii="仿宋_GB2312" w:eastAsia="仿宋_GB2312" w:hAnsi="仿宋_GB2312" w:cs="仿宋_GB2312" w:hint="eastAsia"/>
          <w:bCs/>
          <w:sz w:val="30"/>
          <w:szCs w:val="30"/>
        </w:rPr>
        <w:t>010-88387268,88387236</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传真号码：</w:t>
      </w:r>
      <w:r>
        <w:rPr>
          <w:rFonts w:ascii="仿宋_GB2312" w:eastAsia="仿宋_GB2312" w:hAnsi="仿宋_GB2312" w:cs="仿宋_GB2312" w:hint="eastAsia"/>
          <w:bCs/>
          <w:sz w:val="30"/>
          <w:szCs w:val="30"/>
        </w:rPr>
        <w:t>010-88387209</w:t>
      </w:r>
    </w:p>
    <w:p w:rsidR="00ED776A" w:rsidRDefault="00ED776A">
      <w:pPr>
        <w:spacing w:line="560" w:lineRule="exact"/>
        <w:ind w:firstLine="600"/>
        <w:rPr>
          <w:rFonts w:ascii="仿宋_GB2312" w:eastAsia="仿宋_GB2312" w:hAnsi="仿宋_GB2312" w:cs="仿宋_GB2312"/>
          <w:bCs/>
          <w:sz w:val="30"/>
          <w:szCs w:val="30"/>
        </w:rPr>
      </w:pP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附件：</w:t>
      </w: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填写说明</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 xml:space="preserve">      2.</w:t>
      </w:r>
      <w:r>
        <w:rPr>
          <w:rFonts w:ascii="仿宋_GB2312" w:eastAsia="仿宋_GB2312" w:hAnsi="仿宋_GB2312" w:cs="仿宋_GB2312" w:hint="eastAsia"/>
          <w:bCs/>
          <w:sz w:val="30"/>
          <w:szCs w:val="30"/>
        </w:rPr>
        <w:t>形式审查标准</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 xml:space="preserve">      3.</w:t>
      </w:r>
      <w:r>
        <w:rPr>
          <w:rFonts w:ascii="仿宋_GB2312" w:eastAsia="仿宋_GB2312" w:hAnsi="仿宋_GB2312" w:cs="仿宋_GB2312" w:hint="eastAsia"/>
          <w:bCs/>
          <w:sz w:val="30"/>
          <w:szCs w:val="30"/>
        </w:rPr>
        <w:t>指南编写专家名单</w:t>
      </w:r>
    </w:p>
    <w:p w:rsidR="00ED776A" w:rsidRDefault="00EB3580">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 xml:space="preserve">      4.</w:t>
      </w:r>
      <w:r>
        <w:rPr>
          <w:rFonts w:ascii="仿宋_GB2312" w:eastAsia="仿宋_GB2312" w:hAnsi="仿宋_GB2312" w:cs="仿宋_GB2312" w:hint="eastAsia"/>
          <w:bCs/>
          <w:sz w:val="30"/>
          <w:szCs w:val="30"/>
        </w:rPr>
        <w:t>正式申报书模板</w:t>
      </w:r>
    </w:p>
    <w:p w:rsidR="00ED776A" w:rsidRDefault="00ED776A">
      <w:pPr>
        <w:snapToGrid w:val="0"/>
        <w:spacing w:line="360" w:lineRule="auto"/>
        <w:rPr>
          <w:rFonts w:ascii="Times New Roman" w:eastAsia="仿宋" w:hAnsi="Times New Roman" w:cs="Times New Roman"/>
          <w:bCs/>
          <w:color w:val="000000"/>
          <w:kern w:val="0"/>
          <w:sz w:val="30"/>
          <w:szCs w:val="30"/>
        </w:rPr>
      </w:pPr>
    </w:p>
    <w:p w:rsidR="00ED776A" w:rsidRDefault="00ED776A">
      <w:pPr>
        <w:rPr>
          <w:rFonts w:ascii="Times New Roman" w:eastAsia="仿宋" w:hAnsi="Times New Roman" w:cs="Times New Roman"/>
        </w:rPr>
      </w:pPr>
    </w:p>
    <w:p w:rsidR="00ED776A" w:rsidRDefault="00ED776A">
      <w:pPr>
        <w:ind w:firstLine="640"/>
        <w:rPr>
          <w:rFonts w:ascii="仿宋_GB2312" w:eastAsia="仿宋_GB2312" w:hAnsi="黑体"/>
          <w:sz w:val="32"/>
          <w:szCs w:val="32"/>
        </w:rPr>
      </w:pPr>
    </w:p>
    <w:sectPr w:rsidR="00ED776A" w:rsidSect="00ED776A">
      <w:footerReference w:type="default" r:id="rId14"/>
      <w:pgSz w:w="11906" w:h="16838"/>
      <w:pgMar w:top="1418" w:right="1588"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580" w:rsidRDefault="00EB3580" w:rsidP="00ED776A">
      <w:r>
        <w:separator/>
      </w:r>
    </w:p>
  </w:endnote>
  <w:endnote w:type="continuationSeparator" w:id="0">
    <w:p w:rsidR="00EB3580" w:rsidRDefault="00EB3580" w:rsidP="00ED7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swiss"/>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swiss"/>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pStyle w:val="a4"/>
      <w:ind w:firstLine="360"/>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670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pgkvT&#10;AAAABQEAAA8AAAAAAAAAAQAgAAAAIgAAAGRycy9kb3ducmV2LnhtbFBLAQIUABQAAAAIAIdO4kA9&#10;fxq4swEAAFMDAAAOAAAAAAAAAAEAIAAAACIBAABkcnMvZTJvRG9jLnhtbFBLBQYAAAAABgAGAFkB&#10;AABHBQAAAAA=&#10;" filled="f" stroked="f" strokeweight="1.25pt">
          <v:textbox style="mso-fit-shape-to-text:t" inset="0,0,0,0">
            <w:txbxContent>
              <w:p w:rsidR="00ED776A" w:rsidRDefault="00ED776A">
                <w:pPr>
                  <w:pStyle w:val="a4"/>
                  <w:ind w:firstLine="360"/>
                  <w:jc w:val="center"/>
                </w:pPr>
                <w:r w:rsidRPr="00ED776A">
                  <w:fldChar w:fldCharType="begin"/>
                </w:r>
                <w:r w:rsidR="00EB3580">
                  <w:instrText>PAGE   \* MERGEFORMAT</w:instrText>
                </w:r>
                <w:r w:rsidRPr="00ED776A">
                  <w:fldChar w:fldCharType="separate"/>
                </w:r>
                <w:r w:rsidR="00A76C27" w:rsidRPr="00A76C27">
                  <w:rPr>
                    <w:noProof/>
                    <w:lang w:val="zh-CN"/>
                  </w:rPr>
                  <w:t>1</w:t>
                </w:r>
                <w:r>
                  <w:rPr>
                    <w:lang w:val="zh-CN"/>
                  </w:rPr>
                  <w:fldChar w:fldCharType="end"/>
                </w:r>
              </w:p>
            </w:txbxContent>
          </v:textbox>
          <w10:wrap anchorx="margin"/>
        </v:shape>
      </w:pict>
    </w:r>
  </w:p>
  <w:p w:rsidR="00ED776A" w:rsidRDefault="00ED776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pStyle w:val="a4"/>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772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pgkvT&#10;AAAABQEAAA8AAAAAAAAAAQAgAAAAIgAAAGRycy9kb3ducmV2LnhtbFBLAQIUABQAAAAIAIdO4kDp&#10;14muswEAAFMDAAAOAAAAAAAAAAEAIAAAACIBAABkcnMvZTJvRG9jLnhtbFBLBQYAAAAABgAGAFkB&#10;AABHBQAAAAA=&#10;" filled="f" stroked="f" strokeweight="1.25pt">
          <v:textbox style="mso-fit-shape-to-text:t" inset="0,0,0,0">
            <w:txbxContent>
              <w:p w:rsidR="00ED776A" w:rsidRDefault="00ED776A">
                <w:pPr>
                  <w:snapToGrid w:val="0"/>
                  <w:rPr>
                    <w:rFonts w:eastAsia="仿宋_GB2312"/>
                    <w:sz w:val="18"/>
                  </w:rPr>
                </w:pPr>
                <w:r>
                  <w:rPr>
                    <w:rFonts w:hint="eastAsia"/>
                    <w:sz w:val="18"/>
                  </w:rPr>
                  <w:fldChar w:fldCharType="begin"/>
                </w:r>
                <w:r w:rsidR="00EB3580">
                  <w:rPr>
                    <w:rFonts w:hint="eastAsia"/>
                    <w:sz w:val="18"/>
                  </w:rPr>
                  <w:instrText xml:space="preserve"> PAGE  \* MERGEFORMAT </w:instrText>
                </w:r>
                <w:r>
                  <w:rPr>
                    <w:rFonts w:hint="eastAsia"/>
                    <w:sz w:val="18"/>
                  </w:rPr>
                  <w:fldChar w:fldCharType="separate"/>
                </w:r>
                <w:r w:rsidR="00A76C27">
                  <w:rPr>
                    <w:noProof/>
                    <w:sz w:val="18"/>
                  </w:rPr>
                  <w:t>0</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pStyle w:val="a4"/>
      <w:tabs>
        <w:tab w:val="clear" w:pos="4153"/>
        <w:tab w:val="clear" w:pos="8306"/>
        <w:tab w:val="center" w:pos="4365"/>
      </w:tabs>
    </w:pPr>
    <w:r>
      <w:pict>
        <v:shapetype id="_x0000_t202" coordsize="21600,21600" o:spt="202" path="m,l,21600r21600,l21600,xe">
          <v:stroke joinstyle="miter"/>
          <v:path gradientshapeok="t" o:connecttype="rect"/>
        </v:shapetype>
        <v:shape id="_x0000_s1027" type="#_x0000_t202" style="position:absolute;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encV45wEAALYD&#10;AAAOAAAAAAAAAAEAIAAAAB4BAABkcnMvZTJvRG9jLnhtbFBLBQYAAAAABgAGAFkBAAB3BQAAAAA=&#10;" filled="f" stroked="f">
          <v:textbox style="mso-fit-shape-to-text:t" inset="0,0,0,0">
            <w:txbxContent>
              <w:p w:rsidR="00ED776A" w:rsidRDefault="00ED776A">
                <w:pPr>
                  <w:snapToGrid w:val="0"/>
                  <w:rPr>
                    <w:sz w:val="18"/>
                  </w:rPr>
                </w:pPr>
                <w:r>
                  <w:rPr>
                    <w:rFonts w:hint="eastAsia"/>
                    <w:sz w:val="18"/>
                  </w:rPr>
                  <w:fldChar w:fldCharType="begin"/>
                </w:r>
                <w:r w:rsidR="00EB3580">
                  <w:rPr>
                    <w:rFonts w:hint="eastAsia"/>
                    <w:sz w:val="18"/>
                  </w:rPr>
                  <w:instrText xml:space="preserve"> PAGE  \* MERGEFORMAT </w:instrText>
                </w:r>
                <w:r>
                  <w:rPr>
                    <w:rFonts w:hint="eastAsia"/>
                    <w:sz w:val="18"/>
                  </w:rPr>
                  <w:fldChar w:fldCharType="separate"/>
                </w:r>
                <w:r w:rsidR="00A76C27">
                  <w:rPr>
                    <w:noProof/>
                    <w:sz w:val="18"/>
                  </w:rPr>
                  <w:t>1</w:t>
                </w:r>
                <w:r>
                  <w:rPr>
                    <w:rFonts w:hint="eastAsia"/>
                    <w:sz w:val="18"/>
                  </w:rPr>
                  <w:fldChar w:fldCharType="end"/>
                </w:r>
              </w:p>
            </w:txbxContent>
          </v:textbox>
          <w10:wrap anchorx="margin"/>
        </v:shape>
      </w:pict>
    </w:r>
    <w:r w:rsidR="00EB3580">
      <w:rPr>
        <w:rFonts w:hint="eastAsia"/>
      </w:rPr>
      <w:t xml:space="preserve"> </w:t>
    </w:r>
    <w:r w:rsidR="00EB3580">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580" w:rsidRDefault="00EB3580" w:rsidP="00ED776A">
      <w:r>
        <w:separator/>
      </w:r>
    </w:p>
  </w:footnote>
  <w:footnote w:type="continuationSeparator" w:id="0">
    <w:p w:rsidR="00EB3580" w:rsidRDefault="00EB3580" w:rsidP="00ED7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ind w:left="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6A" w:rsidRDefault="00ED776A">
    <w:pPr>
      <w:ind w:left="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46A"/>
    <w:rsid w:val="000140CE"/>
    <w:rsid w:val="0002792E"/>
    <w:rsid w:val="00072134"/>
    <w:rsid w:val="00083AC1"/>
    <w:rsid w:val="000F775F"/>
    <w:rsid w:val="00147578"/>
    <w:rsid w:val="001A09E2"/>
    <w:rsid w:val="001A126C"/>
    <w:rsid w:val="001A346A"/>
    <w:rsid w:val="001B60A3"/>
    <w:rsid w:val="001E248F"/>
    <w:rsid w:val="002A4353"/>
    <w:rsid w:val="003440E5"/>
    <w:rsid w:val="00351802"/>
    <w:rsid w:val="003D3201"/>
    <w:rsid w:val="003D6F5F"/>
    <w:rsid w:val="003F0AA8"/>
    <w:rsid w:val="004353F7"/>
    <w:rsid w:val="00443538"/>
    <w:rsid w:val="004470CC"/>
    <w:rsid w:val="0052279C"/>
    <w:rsid w:val="005A3982"/>
    <w:rsid w:val="00795A51"/>
    <w:rsid w:val="007B0621"/>
    <w:rsid w:val="007E2078"/>
    <w:rsid w:val="008711DF"/>
    <w:rsid w:val="008C1913"/>
    <w:rsid w:val="0098320E"/>
    <w:rsid w:val="00996A79"/>
    <w:rsid w:val="009E2B37"/>
    <w:rsid w:val="009F538C"/>
    <w:rsid w:val="00A05968"/>
    <w:rsid w:val="00A76C27"/>
    <w:rsid w:val="00AA0D83"/>
    <w:rsid w:val="00B30BB4"/>
    <w:rsid w:val="00CE4E02"/>
    <w:rsid w:val="00CE6A1F"/>
    <w:rsid w:val="00DF07CE"/>
    <w:rsid w:val="00EA151C"/>
    <w:rsid w:val="00EB3580"/>
    <w:rsid w:val="00EC2ABF"/>
    <w:rsid w:val="00ED776A"/>
    <w:rsid w:val="00F434CF"/>
    <w:rsid w:val="00FA42BD"/>
    <w:rsid w:val="00FB2139"/>
    <w:rsid w:val="02687212"/>
    <w:rsid w:val="057274FF"/>
    <w:rsid w:val="087010E6"/>
    <w:rsid w:val="0D8F06B8"/>
    <w:rsid w:val="0EA20611"/>
    <w:rsid w:val="0FCB31F9"/>
    <w:rsid w:val="1EA75ED9"/>
    <w:rsid w:val="1F761A29"/>
    <w:rsid w:val="1FB37310"/>
    <w:rsid w:val="208572EB"/>
    <w:rsid w:val="241C39CC"/>
    <w:rsid w:val="244C6719"/>
    <w:rsid w:val="278C4D77"/>
    <w:rsid w:val="2A6B611B"/>
    <w:rsid w:val="2C044B47"/>
    <w:rsid w:val="308B2A04"/>
    <w:rsid w:val="37AE63BF"/>
    <w:rsid w:val="479A620F"/>
    <w:rsid w:val="4DEA5BE4"/>
    <w:rsid w:val="612819F5"/>
    <w:rsid w:val="676663B4"/>
    <w:rsid w:val="734F48C1"/>
    <w:rsid w:val="744D2ACA"/>
    <w:rsid w:val="78284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76A"/>
    <w:pPr>
      <w:widowControl w:val="0"/>
      <w:jc w:val="both"/>
    </w:pPr>
    <w:rPr>
      <w:kern w:val="2"/>
      <w:sz w:val="21"/>
      <w:szCs w:val="22"/>
    </w:rPr>
  </w:style>
  <w:style w:type="paragraph" w:styleId="1">
    <w:name w:val="heading 1"/>
    <w:basedOn w:val="a"/>
    <w:next w:val="a"/>
    <w:uiPriority w:val="9"/>
    <w:qFormat/>
    <w:rsid w:val="00ED776A"/>
    <w:pPr>
      <w:keepNext/>
      <w:keepLines/>
      <w:spacing w:before="340" w:after="330" w:line="576" w:lineRule="auto"/>
      <w:outlineLvl w:val="0"/>
    </w:pPr>
    <w:rPr>
      <w:rFonts w:ascii="Times New Roman" w:eastAsia="仿宋_GB2312" w:hAnsi="Times New Roman" w:cs="Times New Roman"/>
      <w:b/>
      <w:bCs/>
      <w:kern w:val="44"/>
      <w:sz w:val="44"/>
      <w:szCs w:val="44"/>
    </w:rPr>
  </w:style>
  <w:style w:type="paragraph" w:styleId="2">
    <w:name w:val="heading 2"/>
    <w:basedOn w:val="a"/>
    <w:next w:val="a"/>
    <w:uiPriority w:val="9"/>
    <w:unhideWhenUsed/>
    <w:qFormat/>
    <w:rsid w:val="00ED776A"/>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D776A"/>
    <w:rPr>
      <w:sz w:val="18"/>
      <w:szCs w:val="18"/>
    </w:rPr>
  </w:style>
  <w:style w:type="paragraph" w:styleId="a4">
    <w:name w:val="footer"/>
    <w:basedOn w:val="a"/>
    <w:link w:val="Char1"/>
    <w:uiPriority w:val="99"/>
    <w:unhideWhenUsed/>
    <w:rsid w:val="00ED776A"/>
    <w:pPr>
      <w:tabs>
        <w:tab w:val="center" w:pos="4153"/>
        <w:tab w:val="right" w:pos="8306"/>
      </w:tabs>
      <w:snapToGrid w:val="0"/>
      <w:jc w:val="left"/>
    </w:pPr>
    <w:rPr>
      <w:sz w:val="18"/>
      <w:szCs w:val="18"/>
    </w:rPr>
  </w:style>
  <w:style w:type="paragraph" w:styleId="a5">
    <w:name w:val="header"/>
    <w:basedOn w:val="a"/>
    <w:link w:val="Char0"/>
    <w:uiPriority w:val="99"/>
    <w:unhideWhenUsed/>
    <w:rsid w:val="00ED776A"/>
    <w:pPr>
      <w:pBdr>
        <w:bottom w:val="single" w:sz="6" w:space="1" w:color="auto"/>
      </w:pBdr>
      <w:tabs>
        <w:tab w:val="center" w:pos="4153"/>
        <w:tab w:val="right" w:pos="8306"/>
      </w:tabs>
      <w:snapToGrid w:val="0"/>
      <w:jc w:val="center"/>
    </w:pPr>
    <w:rPr>
      <w:sz w:val="18"/>
      <w:szCs w:val="18"/>
    </w:rPr>
  </w:style>
  <w:style w:type="character" w:styleId="a6">
    <w:name w:val="page number"/>
    <w:uiPriority w:val="99"/>
    <w:unhideWhenUsed/>
    <w:qFormat/>
    <w:rsid w:val="00ED776A"/>
  </w:style>
  <w:style w:type="character" w:customStyle="1" w:styleId="Char0">
    <w:name w:val="页眉 Char"/>
    <w:basedOn w:val="a0"/>
    <w:link w:val="a5"/>
    <w:uiPriority w:val="99"/>
    <w:qFormat/>
    <w:rsid w:val="00ED776A"/>
    <w:rPr>
      <w:sz w:val="18"/>
      <w:szCs w:val="18"/>
    </w:rPr>
  </w:style>
  <w:style w:type="character" w:customStyle="1" w:styleId="Char1">
    <w:name w:val="页脚 Char1"/>
    <w:basedOn w:val="a0"/>
    <w:link w:val="a4"/>
    <w:uiPriority w:val="99"/>
    <w:qFormat/>
    <w:rsid w:val="00ED776A"/>
    <w:rPr>
      <w:sz w:val="18"/>
      <w:szCs w:val="18"/>
    </w:rPr>
  </w:style>
  <w:style w:type="character" w:customStyle="1" w:styleId="Char">
    <w:name w:val="批注框文本 Char"/>
    <w:basedOn w:val="a0"/>
    <w:link w:val="a3"/>
    <w:uiPriority w:val="99"/>
    <w:semiHidden/>
    <w:qFormat/>
    <w:rsid w:val="00ED776A"/>
    <w:rPr>
      <w:sz w:val="18"/>
      <w:szCs w:val="18"/>
    </w:rPr>
  </w:style>
  <w:style w:type="character" w:customStyle="1" w:styleId="Char2">
    <w:name w:val="页脚 Char"/>
    <w:uiPriority w:val="99"/>
    <w:qFormat/>
    <w:rsid w:val="00ED776A"/>
    <w:rPr>
      <w:sz w:val="18"/>
      <w:szCs w:val="18"/>
    </w:rPr>
  </w:style>
  <w:style w:type="paragraph" w:customStyle="1" w:styleId="Default">
    <w:name w:val="Default"/>
    <w:uiPriority w:val="99"/>
    <w:qFormat/>
    <w:rsid w:val="00ED776A"/>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stic.ac.c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 xie</dc:creator>
  <cp:lastModifiedBy>Administrator</cp:lastModifiedBy>
  <cp:revision>7</cp:revision>
  <cp:lastPrinted>2017-07-03T06:11:00Z</cp:lastPrinted>
  <dcterms:created xsi:type="dcterms:W3CDTF">2019-01-26T02:42:00Z</dcterms:created>
  <dcterms:modified xsi:type="dcterms:W3CDTF">2019-02-01T07:58:00Z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